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2FBB2">
      <w:pPr>
        <w:snapToGrid w:val="0"/>
        <w:spacing w:line="312" w:lineRule="auto"/>
        <w:jc w:val="left"/>
        <w:rPr>
          <w:rFonts w:ascii="Times New Roman" w:hAnsi="Times New Roman" w:eastAsia="方正小标宋简体" w:cs="Times New Roman"/>
          <w:sz w:val="32"/>
          <w:szCs w:val="32"/>
        </w:rPr>
      </w:pPr>
      <w:bookmarkStart w:id="0" w:name="_Hlk73976581"/>
      <w:r>
        <w:rPr>
          <w:rFonts w:ascii="Times New Roman" w:hAnsi="Times New Roman" w:eastAsia="方正小标宋简体" w:cs="Times New Roman"/>
          <w:sz w:val="32"/>
          <w:szCs w:val="32"/>
        </w:rPr>
        <w:t>附件1</w:t>
      </w:r>
    </w:p>
    <w:p w14:paraId="12BD7BA6">
      <w:pPr>
        <w:snapToGrid w:val="0"/>
        <w:spacing w:line="312" w:lineRule="auto"/>
        <w:jc w:val="center"/>
        <w:rPr>
          <w:rFonts w:ascii="Times New Roman" w:hAnsi="Times New Roman" w:eastAsia="方正小标宋简体" w:cs="Times New Roman"/>
          <w:sz w:val="36"/>
          <w:szCs w:val="36"/>
        </w:rPr>
      </w:pPr>
      <w:r>
        <w:rPr>
          <w:rFonts w:ascii="Times New Roman" w:hAnsi="Times New Roman" w:eastAsia="方正小标宋简体" w:cs="Times New Roman"/>
          <w:sz w:val="36"/>
          <w:szCs w:val="36"/>
        </w:rPr>
        <w:t>“开放创新”类项目榜单任务指南</w:t>
      </w:r>
      <w:bookmarkEnd w:id="0"/>
    </w:p>
    <w:p w14:paraId="0D18F58A">
      <w:pPr>
        <w:snapToGrid w:val="0"/>
        <w:spacing w:line="312" w:lineRule="auto"/>
        <w:jc w:val="center"/>
        <w:rPr>
          <w:rFonts w:ascii="Times New Roman" w:hAnsi="Times New Roman" w:eastAsia="方正小标宋简体" w:cs="Times New Roman"/>
          <w:sz w:val="36"/>
          <w:szCs w:val="36"/>
        </w:rPr>
      </w:pPr>
    </w:p>
    <w:p w14:paraId="5A17BCA8">
      <w:pPr>
        <w:snapToGrid w:val="0"/>
        <w:spacing w:after="120" w:line="336" w:lineRule="auto"/>
        <w:jc w:val="center"/>
        <w:rPr>
          <w:rFonts w:ascii="Times New Roman" w:hAnsi="Times New Roman" w:eastAsia="楷体" w:cs="Times New Roman"/>
          <w:b/>
          <w:bCs/>
          <w:color w:val="FF0000"/>
          <w:sz w:val="32"/>
          <w:szCs w:val="32"/>
        </w:rPr>
      </w:pPr>
      <w:r>
        <w:rPr>
          <w:rFonts w:ascii="Times New Roman" w:hAnsi="Times New Roman" w:eastAsia="黑体" w:cs="Times New Roman"/>
          <w:b/>
          <w:bCs/>
          <w:color w:val="0070C0"/>
          <w:sz w:val="32"/>
          <w:szCs w:val="32"/>
        </w:rPr>
        <w:t xml:space="preserve">项目1 </w:t>
      </w:r>
      <w:r>
        <w:rPr>
          <w:rFonts w:hint="eastAsia" w:ascii="Times New Roman" w:hAnsi="Times New Roman" w:eastAsia="黑体" w:cs="Times New Roman"/>
          <w:b/>
          <w:bCs/>
          <w:color w:val="0070C0"/>
          <w:sz w:val="32"/>
          <w:szCs w:val="32"/>
        </w:rPr>
        <w:t>低密度高强高韧高镁含量铝合金的复杂多相沉淀析出特征研究</w:t>
      </w:r>
    </w:p>
    <w:p w14:paraId="5BAD51AC">
      <w:pPr>
        <w:snapToGrid w:val="0"/>
        <w:spacing w:line="336" w:lineRule="auto"/>
        <w:ind w:firstLine="643" w:firstLineChars="200"/>
        <w:rPr>
          <w:rFonts w:ascii="Times New Roman" w:hAnsi="Times New Roman" w:eastAsia="仿宋_GB2312" w:cs="Times New Roman"/>
          <w:sz w:val="32"/>
          <w:szCs w:val="32"/>
        </w:rPr>
      </w:pPr>
      <w:r>
        <w:rPr>
          <w:rFonts w:ascii="Times New Roman" w:hAnsi="Times New Roman" w:eastAsia="楷体" w:cs="Times New Roman"/>
          <w:b/>
          <w:bCs/>
          <w:sz w:val="32"/>
          <w:szCs w:val="32"/>
        </w:rPr>
        <w:t>需求背景</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针对新一代航空航天飞行器和武器装备对结构轻量化、超高机动性与超大载重的发展需求，中国有研原创开发的低密度高强高韧高镁含量铝合金（高镁轻强铝）已展现出发展成为新一代主干铝合金材料的巨大潜力，其制备加工工艺流程与装备同现有7xxx系、2xxx系和Al-Li系高强高韧铝合金完全兼容，原料成本降低20%以上、合金密度降低5~10%，通过“等体积减重+减体积减重”设计可带来10%~15%减重效果。该合金为全新体系，受高合金化程度、高过饱和度固溶体等特征影响，其时效析出特征复杂，在不同时效条件下晶内与晶界沉淀析出相的结构、形貌、成分等特征尚未全面掌握，沉淀析出相的强韧化机制与腐蚀过程尚未阐明，无法指导强度、韧性、疲劳、腐蚀之间的协同及综合优化，强韧化热处理制度与各项性能匹配尚有较大优化空间。亟需开展不同时效状态下晶内、晶界沉淀相的结构、成分、腐蚀电位等本征特征以及尺寸、分布等组织特征的精细化表征，阐明时效热历程对复杂多相沉淀析出行为的影响机制，探明基于时效动力学的沉淀析出精细调控原理，为新型合金综合性能协同优化及高镁轻强铝产业化提供组织调控理论基础。</w:t>
      </w:r>
    </w:p>
    <w:p w14:paraId="232308C1">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拟解决的关键科学问题</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（1）时效热历程对高镁含量、高过饱和度条件下的合金时效析出行为的影响机理。</w:t>
      </w:r>
    </w:p>
    <w:p w14:paraId="1213A2B7">
      <w:pPr>
        <w:snapToGrid w:val="0"/>
        <w:spacing w:line="336" w:lineRule="auto"/>
        <w:ind w:firstLine="643" w:firstLineChars="200"/>
        <w:rPr>
          <w:rFonts w:ascii="Times New Roman" w:hAnsi="Times New Roman" w:eastAsia="楷体" w:cs="Times New Roman"/>
          <w:color w:val="FF0000"/>
          <w:sz w:val="32"/>
          <w:szCs w:val="32"/>
        </w:rPr>
      </w:pPr>
      <w:r>
        <w:rPr>
          <w:rFonts w:ascii="Times New Roman" w:hAnsi="Times New Roman" w:eastAsia="楷体" w:cs="Times New Roman"/>
          <w:b/>
          <w:bCs/>
          <w:sz w:val="32"/>
          <w:szCs w:val="32"/>
        </w:rPr>
        <w:t>具体考核指标</w:t>
      </w:r>
      <w:r>
        <w:rPr>
          <w:rFonts w:ascii="Times New Roman" w:hAnsi="Times New Roman" w:eastAsia="楷体" w:cs="Times New Roman"/>
          <w:sz w:val="32"/>
          <w:szCs w:val="32"/>
        </w:rPr>
        <w:t>：</w:t>
      </w:r>
      <w:r>
        <w:rPr>
          <w:rFonts w:hint="eastAsia" w:ascii="Times New Roman" w:hAnsi="Times New Roman" w:eastAsia="楷体" w:cs="Times New Roman"/>
          <w:sz w:val="32"/>
          <w:szCs w:val="32"/>
        </w:rPr>
        <w:t>（1）完成典型热处理状态低密度高强韧高镁含量铝合金复杂时效析出特征的精细化表征，阐明合金沉淀析出相种类、成分、腐蚀电位、尺寸、分布等特征与时效状态及晶粒组织特征的关联关系，形成基于时效动力学的沉淀析出精细调控原理的专题研究报告1份；（2）形成总结报告1份，发表高水平学术论文2~3篇。</w:t>
      </w:r>
    </w:p>
    <w:p w14:paraId="16560EB7">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需求方</w:t>
      </w:r>
      <w:r>
        <w:rPr>
          <w:rFonts w:ascii="Times New Roman" w:hAnsi="Times New Roman" w:eastAsia="楷体" w:cs="Times New Roman"/>
          <w:sz w:val="32"/>
          <w:szCs w:val="32"/>
        </w:rPr>
        <w:t>：</w:t>
      </w:r>
      <w:r>
        <w:rPr>
          <w:rFonts w:hint="eastAsia" w:ascii="Times New Roman" w:hAnsi="Times New Roman" w:eastAsia="楷体" w:cs="Times New Roman"/>
          <w:sz w:val="32"/>
          <w:szCs w:val="32"/>
        </w:rPr>
        <w:t>有色金属结构材料全国重点实验室</w:t>
      </w:r>
    </w:p>
    <w:p w14:paraId="7E7F39D9">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联系人</w:t>
      </w:r>
      <w:r>
        <w:rPr>
          <w:rFonts w:ascii="Times New Roman" w:hAnsi="Times New Roman" w:eastAsia="楷体" w:cs="Times New Roman"/>
          <w:sz w:val="32"/>
          <w:szCs w:val="32"/>
        </w:rPr>
        <w:t>：</w:t>
      </w:r>
      <w:r>
        <w:rPr>
          <w:rFonts w:hint="eastAsia" w:ascii="Times New Roman" w:hAnsi="Times New Roman" w:eastAsia="楷体" w:cs="Times New Roman"/>
          <w:sz w:val="32"/>
          <w:szCs w:val="32"/>
        </w:rPr>
        <w:t>于明洋，18801269753，yumingyang@grinm.com</w:t>
      </w:r>
    </w:p>
    <w:p w14:paraId="430CEA61">
      <w:pPr>
        <w:snapToGrid w:val="0"/>
        <w:spacing w:line="336" w:lineRule="auto"/>
        <w:ind w:firstLine="640" w:firstLineChars="200"/>
        <w:rPr>
          <w:rFonts w:ascii="Times New Roman" w:hAnsi="Times New Roman" w:eastAsia="楷体" w:cs="Times New Roman"/>
          <w:sz w:val="32"/>
          <w:szCs w:val="32"/>
        </w:rPr>
      </w:pPr>
    </w:p>
    <w:p w14:paraId="7B1FA7BC">
      <w:pPr>
        <w:snapToGrid w:val="0"/>
        <w:spacing w:after="120"/>
        <w:ind w:firstLine="643" w:firstLineChars="200"/>
        <w:jc w:val="center"/>
        <w:rPr>
          <w:rFonts w:ascii="Times New Roman" w:hAnsi="Times New Roman" w:eastAsia="黑体" w:cs="Times New Roman"/>
          <w:b/>
          <w:bCs/>
          <w:color w:val="0070C0"/>
          <w:sz w:val="32"/>
          <w:szCs w:val="32"/>
        </w:rPr>
      </w:pPr>
      <w:r>
        <w:rPr>
          <w:rFonts w:ascii="Times New Roman" w:hAnsi="Times New Roman" w:eastAsia="黑体" w:cs="Times New Roman"/>
          <w:b/>
          <w:bCs/>
          <w:color w:val="0070C0"/>
          <w:sz w:val="32"/>
          <w:szCs w:val="32"/>
        </w:rPr>
        <w:t xml:space="preserve">项目2 </w:t>
      </w:r>
      <w:r>
        <w:rPr>
          <w:rFonts w:hint="eastAsia" w:ascii="Times New Roman" w:hAnsi="Times New Roman" w:eastAsia="黑体" w:cs="Times New Roman"/>
          <w:b/>
          <w:bCs/>
          <w:color w:val="0070C0"/>
          <w:sz w:val="32"/>
          <w:szCs w:val="32"/>
        </w:rPr>
        <w:t>辐射屏蔽材料智能优化设计方法研究</w:t>
      </w:r>
    </w:p>
    <w:p w14:paraId="0872BE7A">
      <w:pPr>
        <w:snapToGrid w:val="0"/>
        <w:spacing w:line="336" w:lineRule="auto"/>
        <w:ind w:firstLine="643" w:firstLineChars="200"/>
        <w:rPr>
          <w:rFonts w:ascii="Times New Roman" w:hAnsi="Times New Roman" w:eastAsia="仿宋_GB2312" w:cs="Times New Roman"/>
          <w:sz w:val="32"/>
          <w:szCs w:val="32"/>
        </w:rPr>
      </w:pPr>
      <w:r>
        <w:rPr>
          <w:rFonts w:ascii="Times New Roman" w:hAnsi="Times New Roman" w:eastAsia="楷体" w:cs="Times New Roman"/>
          <w:b/>
          <w:bCs/>
          <w:sz w:val="32"/>
          <w:szCs w:val="32"/>
        </w:rPr>
        <w:t>需求背景</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针对核电技术持续迭代升级、核医学与工业辐照等核技术应用场景不断拓展，以及航天航空、深海装备等极端环境对辐射防护提出的更高要求，研发兼具高性能、轻量化与多功能一体化的辐射屏蔽材料已成为行业发展的迫切需求。当前辐射屏蔽材料研发仍以“经验设计—实验试错—性能测试—迭代改进”的传统范式为主，存在研发周期冗长、试制成本高昂、材料组分筛选效率低下等突出问题，难以在多组分协同、多性能目标耦合的复杂条件下实现快速寻优与全局优化。亟需引入人工智能、深度学习与数据驱动技术，聚焦突破多目标智能优化、深度学习代理建模、智能算法与代理模型联合优化等关键技术，构建“智能算法驱动设计—代理模型加速评价”的辐射屏蔽材料多目标协同优化设计方法体系，并开发形成辐射屏蔽材料智能优化设计平台，支撑集团材料研发范式由“经验驱动”向“智能设计”转变，提升材料自主设计能力与产品核心竞争力。</w:t>
      </w:r>
    </w:p>
    <w:p w14:paraId="35020671">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拟解决的关键科学问题</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1）数据驱动的屏蔽性能高精度代理模型构建问题，即在MCNP等蒙特卡洛粒子输运模拟计算成本高、样本量有限且分布不均衡的条件下，如何构建兼具高精度与强泛化能力的屏蔽性能预测代理模型；（2）高维混合设计空间下的多目标多约束优化算法问题，即如何在高维、离散与连续混合、强非线性的设计空间与复杂约束条件下实现全局寻优与帕累托前沿解集求解；（3）智能算法联合优化问题，即如何在保证优化效率的前提下，降低代理模型在数据稀疏区域与外推工况下的预测偏差对优化设计结果可靠性的影响，实现智能优化算法与代理模型的可信联合优化。</w:t>
      </w:r>
    </w:p>
    <w:p w14:paraId="180CC8DB">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具体考核指标</w:t>
      </w:r>
      <w:r>
        <w:rPr>
          <w:rFonts w:ascii="Times New Roman" w:hAnsi="Times New Roman" w:eastAsia="楷体" w:cs="Times New Roman"/>
          <w:sz w:val="32"/>
          <w:szCs w:val="32"/>
        </w:rPr>
        <w:t>：</w:t>
      </w:r>
      <w:r>
        <w:rPr>
          <w:rFonts w:hint="eastAsia" w:ascii="Times New Roman" w:hAnsi="Times New Roman" w:eastAsia="楷体" w:cs="Times New Roman"/>
          <w:sz w:val="32"/>
          <w:szCs w:val="32"/>
        </w:rPr>
        <w:t>（1）建立的辐射屏蔽性能预测代理模型，与Geant4等软件仿真结果相比，对辐射屏蔽材料空间辐射（电子、质子）和核辐射（中子、γ射线）的预测相对误差不大于10%；（2）开发面向辐射屏蔽材料的多目标智能优化算法，支持不少于5个设计目标的同时优化，在多目标测试集上超体积指标（HV）、反转世代距离（IGD）等指标较传统NSGA-III等算法提升不低于5%，并在实际屏蔽优化工况下完成算法的有效运行；（3）建立的智能算法与代理模型联合优化方法，在优化过程中代理模型快速评价次数占全部评价次数的比例不低于70%，且最终优化解经仿真验证满足不大于10%的精度要求；（4）交付物包括使用说明书、研究报告等全套开发报告，以及完整源代码和可执行程序，并支持在需求方指定环境中部署运行。</w:t>
      </w:r>
    </w:p>
    <w:p w14:paraId="3D823BCC">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需求方</w:t>
      </w:r>
      <w:r>
        <w:rPr>
          <w:rFonts w:ascii="Times New Roman" w:hAnsi="Times New Roman" w:eastAsia="楷体" w:cs="Times New Roman"/>
          <w:sz w:val="32"/>
          <w:szCs w:val="32"/>
        </w:rPr>
        <w:t>：</w:t>
      </w:r>
      <w:r>
        <w:rPr>
          <w:rFonts w:hint="eastAsia" w:ascii="Times New Roman" w:hAnsi="Times New Roman" w:eastAsia="楷体" w:cs="Times New Roman"/>
          <w:sz w:val="32"/>
          <w:szCs w:val="32"/>
        </w:rPr>
        <w:t>雁栖湖创新中心</w:t>
      </w:r>
    </w:p>
    <w:p w14:paraId="67FFA2E8">
      <w:pPr>
        <w:snapToGrid w:val="0"/>
        <w:spacing w:line="336" w:lineRule="auto"/>
        <w:ind w:firstLine="643" w:firstLineChars="200"/>
        <w:rPr>
          <w:rFonts w:hint="default" w:ascii="Times New Roman" w:hAnsi="Times New Roman" w:eastAsia="楷体" w:cs="Times New Roman"/>
          <w:sz w:val="32"/>
          <w:szCs w:val="32"/>
          <w:lang w:val="en-US" w:eastAsia="zh-CN"/>
        </w:rPr>
      </w:pPr>
      <w:r>
        <w:rPr>
          <w:rFonts w:ascii="Times New Roman" w:hAnsi="Times New Roman" w:eastAsia="楷体" w:cs="Times New Roman"/>
          <w:b/>
          <w:bCs/>
          <w:sz w:val="32"/>
          <w:szCs w:val="32"/>
        </w:rPr>
        <w:t>联系人</w:t>
      </w:r>
      <w:r>
        <w:rPr>
          <w:rFonts w:ascii="Times New Roman" w:hAnsi="Times New Roman" w:eastAsia="楷体" w:cs="Times New Roman"/>
          <w:sz w:val="32"/>
          <w:szCs w:val="32"/>
        </w:rPr>
        <w:t>：</w:t>
      </w:r>
      <w:r>
        <w:rPr>
          <w:rFonts w:hint="eastAsia" w:ascii="Times New Roman" w:hAnsi="Times New Roman" w:eastAsia="楷体" w:cs="Times New Roman"/>
          <w:sz w:val="32"/>
          <w:szCs w:val="32"/>
          <w:lang w:val="en-US" w:eastAsia="zh-CN"/>
        </w:rPr>
        <w:t>马书旺，13699257522，mashuwang@grinm.com</w:t>
      </w:r>
    </w:p>
    <w:p w14:paraId="4F07D914">
      <w:pPr>
        <w:snapToGrid w:val="0"/>
        <w:spacing w:line="336" w:lineRule="auto"/>
        <w:ind w:firstLine="640" w:firstLineChars="200"/>
        <w:rPr>
          <w:rFonts w:ascii="Times New Roman" w:hAnsi="Times New Roman" w:eastAsia="楷体" w:cs="Times New Roman"/>
          <w:sz w:val="32"/>
          <w:szCs w:val="32"/>
        </w:rPr>
      </w:pPr>
    </w:p>
    <w:p w14:paraId="30D01D2D">
      <w:pPr>
        <w:snapToGrid w:val="0"/>
        <w:spacing w:after="120"/>
        <w:jc w:val="center"/>
        <w:rPr>
          <w:rFonts w:ascii="Times New Roman" w:hAnsi="Times New Roman" w:eastAsia="楷体" w:cs="Times New Roman"/>
          <w:color w:val="FF0000"/>
          <w:sz w:val="32"/>
          <w:szCs w:val="32"/>
        </w:rPr>
      </w:pPr>
      <w:r>
        <w:rPr>
          <w:rFonts w:ascii="Times New Roman" w:hAnsi="Times New Roman" w:eastAsia="黑体" w:cs="Times New Roman"/>
          <w:b/>
          <w:bCs/>
          <w:color w:val="0070C0"/>
          <w:sz w:val="32"/>
          <w:szCs w:val="32"/>
        </w:rPr>
        <w:t xml:space="preserve">项目3 </w:t>
      </w:r>
      <w:r>
        <w:rPr>
          <w:rFonts w:hint="eastAsia" w:ascii="Times New Roman" w:hAnsi="Times New Roman" w:eastAsia="黑体" w:cs="Times New Roman"/>
          <w:b/>
          <w:bCs/>
          <w:color w:val="0070C0"/>
          <w:sz w:val="32"/>
          <w:szCs w:val="32"/>
        </w:rPr>
        <w:t>基于导电复合水凝胶的脑机接口柔性传感技术研究</w:t>
      </w:r>
    </w:p>
    <w:p w14:paraId="3AFC0DB5">
      <w:pPr>
        <w:tabs>
          <w:tab w:val="left" w:pos="600"/>
        </w:tabs>
        <w:spacing w:line="360"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需求背景</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针对脑机接口（BCI）技术在下一代人机交互与精准医疗领域的战略需求，脑电信号的采集质量直接决定系统性能，而传统刚性电极存在组织损伤、炎症反应和信号衰减等问题，严重制约了BCI的长期应用。天然生物材料兼具优异的生物相容性、可降解性和力学适配性，通过混合导电材料直接成膜策略可一体化形成兼具导电性、柔韧性和共形贴合能力的全水凝胶电极。亟需开展导电复合水凝胶的一体化成膜制备与性能调控、导电水凝胶电极-脑组织界面的电学传感机制与长期稳定性、一体化多通道柔性脑电传感阵列的集成与验证研究，建立组分-结构-导电/力学性能的构效关系与界面阻抗-信号信噪比理论模型，突破高端柔性BCI生物电极关键技术。</w:t>
      </w:r>
    </w:p>
    <w:p w14:paraId="3815ECE5">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拟解决的关键科学问题</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1）天然生物材料基体中导电填料的分散调控与逾渗传导机制，建立复合体系的电子/离子混合传导理论模型；（2）导电水凝胶电极/生物组织界面的离子-电子耦合转导规律，阐明界面电化学过程对信号采集保真度的影响，建立界面阻抗与信号质量的理论关联；（3）一体化导电水凝胶在多通道阵列中的信号隔离与串扰抑制，即在无额外绝缘层的“混合导电但分区功能”一体化薄膜架构中实现多通道信号的独立采集。</w:t>
      </w:r>
    </w:p>
    <w:p w14:paraId="3C2DDAE5">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具体考核指标</w:t>
      </w:r>
      <w:r>
        <w:rPr>
          <w:rFonts w:ascii="Times New Roman" w:hAnsi="Times New Roman" w:eastAsia="楷体" w:cs="Times New Roman"/>
          <w:sz w:val="32"/>
          <w:szCs w:val="32"/>
        </w:rPr>
        <w:t>：</w:t>
      </w:r>
      <w:r>
        <w:rPr>
          <w:rFonts w:hint="eastAsia" w:ascii="Times New Roman" w:hAnsi="Times New Roman" w:eastAsia="楷体" w:cs="Times New Roman"/>
          <w:sz w:val="32"/>
          <w:szCs w:val="32"/>
        </w:rPr>
        <w:t>（1）导电复合水凝胶薄膜的薄层电阻≤200 Ω/sq（或电导率≥10 S/m）；（2）电极/组织界面阻抗（1 kHz）：≤50 kΩ·cm²（EEG应用）或≤10 kΩ（ECoG应用）；（3）电极拉伸性：断裂伸长率≥100%；（4）信号采集性能：可稳定采集脑电信号（EEG频段0.5~30 Hz或ECoG信号），信噪比≥20 dB；（5）长期稳定性：在模拟生理环境中（PBS溶液，37℃）4周电化学性能衰减≤20%；（6）生物相容性：细胞毒性评级≤1级，植入后炎症反应轻微；（7）双方合作发表SCI论文≥1篇，申请发明专利≥2项。</w:t>
      </w:r>
    </w:p>
    <w:p w14:paraId="37D8D7DE">
      <w:pPr>
        <w:tabs>
          <w:tab w:val="left" w:pos="600"/>
        </w:tabs>
        <w:spacing w:line="360"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需求方</w:t>
      </w:r>
      <w:r>
        <w:rPr>
          <w:rFonts w:ascii="Times New Roman" w:hAnsi="Times New Roman" w:eastAsia="楷体" w:cs="Times New Roman"/>
          <w:sz w:val="32"/>
          <w:szCs w:val="32"/>
        </w:rPr>
        <w:t>：</w:t>
      </w:r>
      <w:r>
        <w:rPr>
          <w:rFonts w:hint="eastAsia" w:ascii="Times New Roman" w:hAnsi="Times New Roman" w:eastAsia="楷体" w:cs="Times New Roman"/>
          <w:sz w:val="32"/>
          <w:szCs w:val="32"/>
        </w:rPr>
        <w:t>智能传感功能材料全国重点实验室</w:t>
      </w:r>
    </w:p>
    <w:p w14:paraId="14DE3DE9">
      <w:pPr>
        <w:tabs>
          <w:tab w:val="left" w:pos="600"/>
        </w:tabs>
        <w:spacing w:line="360"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联系人</w:t>
      </w:r>
      <w:r>
        <w:rPr>
          <w:rFonts w:ascii="Times New Roman" w:hAnsi="Times New Roman" w:eastAsia="楷体" w:cs="Times New Roman"/>
          <w:sz w:val="32"/>
          <w:szCs w:val="32"/>
        </w:rPr>
        <w:t>：</w:t>
      </w:r>
      <w:r>
        <w:rPr>
          <w:rFonts w:hint="eastAsia" w:ascii="Times New Roman" w:hAnsi="Times New Roman" w:eastAsia="楷体" w:cs="Times New Roman"/>
          <w:sz w:val="32"/>
          <w:szCs w:val="32"/>
        </w:rPr>
        <w:t>魏千惠，18610451304，weiqianhui@grinm.com</w:t>
      </w:r>
    </w:p>
    <w:p w14:paraId="7185B07A">
      <w:pPr>
        <w:snapToGrid w:val="0"/>
        <w:spacing w:line="336" w:lineRule="auto"/>
        <w:ind w:firstLine="640" w:firstLineChars="200"/>
        <w:rPr>
          <w:rFonts w:ascii="Times New Roman" w:hAnsi="Times New Roman" w:eastAsia="楷体" w:cs="Times New Roman"/>
          <w:sz w:val="32"/>
          <w:szCs w:val="32"/>
        </w:rPr>
      </w:pPr>
    </w:p>
    <w:p w14:paraId="4138058D">
      <w:pPr>
        <w:snapToGrid w:val="0"/>
        <w:spacing w:after="120" w:line="336" w:lineRule="auto"/>
        <w:jc w:val="center"/>
        <w:rPr>
          <w:rFonts w:ascii="Times New Roman" w:hAnsi="Times New Roman" w:eastAsia="黑体" w:cs="Times New Roman"/>
          <w:b/>
          <w:bCs/>
          <w:color w:val="0070C0"/>
          <w:sz w:val="32"/>
          <w:szCs w:val="32"/>
        </w:rPr>
      </w:pPr>
      <w:r>
        <w:rPr>
          <w:rFonts w:ascii="Times New Roman" w:hAnsi="Times New Roman" w:eastAsia="黑体" w:cs="Times New Roman"/>
          <w:b/>
          <w:bCs/>
          <w:color w:val="0070C0"/>
          <w:sz w:val="32"/>
          <w:szCs w:val="32"/>
        </w:rPr>
        <w:t xml:space="preserve">项目4 </w:t>
      </w:r>
      <w:r>
        <w:rPr>
          <w:rFonts w:hint="eastAsia" w:ascii="Times New Roman" w:hAnsi="Times New Roman" w:eastAsia="黑体" w:cs="Times New Roman"/>
          <w:b/>
          <w:bCs/>
          <w:color w:val="0070C0"/>
          <w:sz w:val="32"/>
          <w:szCs w:val="32"/>
        </w:rPr>
        <w:t>面向机器人精密装配的力觉-触觉融合感知与柔顺操作关键技术研究</w:t>
      </w:r>
    </w:p>
    <w:p w14:paraId="2FB043FF">
      <w:pPr>
        <w:snapToGrid w:val="0"/>
        <w:spacing w:line="336" w:lineRule="auto"/>
        <w:ind w:firstLine="643" w:firstLineChars="200"/>
        <w:rPr>
          <w:rFonts w:hint="eastAsia" w:ascii="Times New Roman" w:hAnsi="Times New Roman" w:eastAsia="楷体" w:cs="Times New Roman"/>
          <w:sz w:val="32"/>
          <w:szCs w:val="32"/>
        </w:rPr>
      </w:pPr>
      <w:r>
        <w:rPr>
          <w:rFonts w:ascii="Times New Roman" w:hAnsi="Times New Roman" w:eastAsia="楷体" w:cs="Times New Roman"/>
          <w:b/>
          <w:bCs/>
          <w:sz w:val="32"/>
          <w:szCs w:val="32"/>
        </w:rPr>
        <w:t>需求背景</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高端装备制造、智能机器人及柔性生产线对高精度、高可靠性精密装配提出迫切需求。轴孔插装、螺纹紧固、异形件对接等典型装配任务普遍受零件尺寸公差、初始位姿偏差、装夹误差、摩擦状态时变及环境扰动等不确定因素影响，仅依赖预设轨迹与位置控制难以实时辨识接触状态变化，易引发装配失败、零件损伤乃至设备安全风险。现有感知手段存在固有局限：六维力 / 力矩传感器可测量机器人末端整体力与力矩，但难以单独确定接触位置、局部压力分布、表面形貌及微小滑移等微观状态；柔性触觉与视触觉传感器虽可获取局部接触信息，但对末端整体载荷及多接触协同作用的表征能力不足。亟须以有研（广东）新材料技术研究院 LR60 系列六维力传感器为力觉基础，突破全局力觉与局部触觉融合感知机制、接触状态驱动的柔顺装配控制方法及跨工况操作技能泛化技术，构建 "异构感知前端 — 接触状态融合估计 — 柔顺控制与操作学习 — 系统集成验证" 完整技术体系，推动六维力传感器由单一感知器件向力 - 触觉融合智能感知与机器人操作整体解决方案升级。</w:t>
      </w:r>
    </w:p>
    <w:p w14:paraId="4D33D509">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拟解决的关键科学问题</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1）多模态力-触觉信息的时空对齐与互补表征，即六维力/力矩（低频、全局动力学）与触觉（高频、局部接触）在尺度、模态与噪声特性差异显著的条件下，如何建立统一、可微的融合表征并抑制串扰与漂移；（2）数据-模型混合驱动的柔顺装配策略学习，即在接触约束强、样本稀缺、工况多变的装配场景中实现从感知到操作的端到端自适应策略，平衡力约束安全性与作业效率；（3）跨工况感知鲁棒性与在线标定，即面对摩擦、振动、温度漂移与外部电磁干扰，如何实现力-触觉系统的在线标定与鲁棒感知。</w:t>
      </w:r>
    </w:p>
    <w:p w14:paraId="737D8835">
      <w:pPr>
        <w:snapToGrid w:val="0"/>
        <w:spacing w:line="336" w:lineRule="auto"/>
        <w:ind w:firstLine="643" w:firstLineChars="200"/>
        <w:rPr>
          <w:rFonts w:hint="eastAsia" w:ascii="Times New Roman" w:hAnsi="Times New Roman" w:eastAsia="楷体" w:cs="Times New Roman"/>
          <w:sz w:val="32"/>
          <w:szCs w:val="32"/>
        </w:rPr>
      </w:pPr>
      <w:r>
        <w:rPr>
          <w:rFonts w:ascii="Times New Roman" w:hAnsi="Times New Roman" w:eastAsia="楷体" w:cs="Times New Roman"/>
          <w:b/>
          <w:bCs/>
          <w:sz w:val="32"/>
          <w:szCs w:val="32"/>
        </w:rPr>
        <w:t>具体考核指标</w:t>
      </w:r>
      <w:r>
        <w:rPr>
          <w:rFonts w:ascii="Times New Roman" w:hAnsi="Times New Roman" w:eastAsia="楷体" w:cs="Times New Roman"/>
          <w:sz w:val="32"/>
          <w:szCs w:val="32"/>
        </w:rPr>
        <w:t>：</w:t>
      </w:r>
      <w:r>
        <w:rPr>
          <w:rFonts w:hint="eastAsia" w:ascii="Times New Roman" w:hAnsi="Times New Roman" w:eastAsia="楷体" w:cs="Times New Roman"/>
          <w:sz w:val="32"/>
          <w:szCs w:val="32"/>
        </w:rPr>
        <w:t>（1）构建力-触觉融合感知原型系统1套：集成有研广东院LR60六维力/力矩传感器（力分辨率0.1 N、力矩分辨率0.05 N·m、采样率≥1000 Hz、精度&lt;2% FS）与柔性触觉阵列，阵列密度不低于25点/cm²，精度不超过±0.2 N；多模态数据时序同步误差≤1 ms，触觉空间分辨率≤0.5 mm；（2）提出力-触觉融合感知与柔顺装配控制方法≥1套，在典型精密装配任务（轴孔插装、螺纹紧固、异形件对接等）上一次装配成功率≥95%，力跟踪误差≤5% FS；（3）形成机器人精密装配多模态数据集1套（≥1000组有效样本，含力-触觉-位姿同步标注）；（4）发表高水平学术论文（SCI）≥2~3篇，申请发明专利≥2项；（5）提交技术研究报告1份，并完成工业环境适配（IP65），通过需求方组织的项目验收。</w:t>
      </w:r>
    </w:p>
    <w:p w14:paraId="5956F57A">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需求方</w:t>
      </w:r>
      <w:r>
        <w:rPr>
          <w:rFonts w:ascii="Times New Roman" w:hAnsi="Times New Roman" w:eastAsia="楷体" w:cs="Times New Roman"/>
          <w:sz w:val="32"/>
          <w:szCs w:val="32"/>
        </w:rPr>
        <w:t>：</w:t>
      </w:r>
      <w:r>
        <w:rPr>
          <w:rFonts w:hint="eastAsia" w:ascii="Times New Roman" w:hAnsi="Times New Roman" w:eastAsia="楷体" w:cs="Times New Roman"/>
          <w:sz w:val="32"/>
          <w:szCs w:val="32"/>
        </w:rPr>
        <w:t>智能传感功能材料全国重点实验室</w:t>
      </w:r>
    </w:p>
    <w:p w14:paraId="0BE73DBC">
      <w:pPr>
        <w:snapToGrid w:val="0"/>
        <w:spacing w:line="336" w:lineRule="auto"/>
        <w:ind w:firstLine="643" w:firstLineChars="200"/>
        <w:jc w:val="left"/>
        <w:rPr>
          <w:rFonts w:ascii="Times New Roman" w:hAnsi="Times New Roman" w:eastAsia="楷体" w:cs="Times New Roman"/>
          <w:sz w:val="32"/>
          <w:szCs w:val="32"/>
        </w:rPr>
      </w:pPr>
      <w:r>
        <w:rPr>
          <w:rFonts w:ascii="Times New Roman" w:hAnsi="Times New Roman" w:eastAsia="楷体" w:cs="Times New Roman"/>
          <w:b/>
          <w:bCs/>
          <w:sz w:val="32"/>
          <w:szCs w:val="32"/>
        </w:rPr>
        <w:t>联系人</w:t>
      </w:r>
      <w:r>
        <w:rPr>
          <w:rFonts w:ascii="Times New Roman" w:hAnsi="Times New Roman" w:eastAsia="楷体" w:cs="Times New Roman"/>
          <w:sz w:val="32"/>
          <w:szCs w:val="32"/>
        </w:rPr>
        <w:t>：</w:t>
      </w:r>
      <w:r>
        <w:rPr>
          <w:rFonts w:hint="eastAsia" w:ascii="Times New Roman" w:hAnsi="Times New Roman" w:eastAsia="楷体" w:cs="Times New Roman"/>
          <w:sz w:val="32"/>
          <w:szCs w:val="32"/>
        </w:rPr>
        <w:t>张延微，13927760437，zhangyanwei@griam.com</w:t>
      </w:r>
    </w:p>
    <w:p w14:paraId="2ED7C28C">
      <w:pPr>
        <w:snapToGrid w:val="0"/>
        <w:spacing w:line="336" w:lineRule="auto"/>
        <w:ind w:firstLine="640" w:firstLineChars="200"/>
        <w:jc w:val="left"/>
        <w:rPr>
          <w:rFonts w:ascii="Times New Roman" w:hAnsi="Times New Roman" w:eastAsia="楷体" w:cs="Times New Roman"/>
          <w:sz w:val="32"/>
          <w:szCs w:val="32"/>
        </w:rPr>
      </w:pPr>
    </w:p>
    <w:p w14:paraId="597288D2">
      <w:pPr>
        <w:snapToGrid w:val="0"/>
        <w:spacing w:after="120" w:line="336" w:lineRule="auto"/>
        <w:jc w:val="center"/>
        <w:rPr>
          <w:rFonts w:ascii="Times New Roman" w:hAnsi="Times New Roman" w:eastAsia="黑体" w:cs="Times New Roman"/>
          <w:b/>
          <w:bCs/>
          <w:color w:val="0070C0"/>
          <w:sz w:val="32"/>
          <w:szCs w:val="32"/>
        </w:rPr>
      </w:pPr>
      <w:r>
        <w:rPr>
          <w:rFonts w:ascii="Times New Roman" w:hAnsi="Times New Roman" w:eastAsia="黑体" w:cs="Times New Roman"/>
          <w:b/>
          <w:bCs/>
          <w:color w:val="0070C0"/>
          <w:sz w:val="32"/>
          <w:szCs w:val="32"/>
        </w:rPr>
        <w:t>项目</w:t>
      </w:r>
      <w:bookmarkStart w:id="1" w:name="_Hlk120873311"/>
      <w:r>
        <w:rPr>
          <w:rFonts w:hint="eastAsia" w:ascii="Times New Roman" w:hAnsi="Times New Roman" w:eastAsia="黑体" w:cs="Times New Roman"/>
          <w:b/>
          <w:bCs/>
          <w:color w:val="0070C0"/>
          <w:sz w:val="32"/>
          <w:szCs w:val="32"/>
          <w:lang w:val="en-US" w:eastAsia="zh-CN"/>
        </w:rPr>
        <w:t>5</w:t>
      </w:r>
      <w:r>
        <w:rPr>
          <w:rFonts w:ascii="Times New Roman" w:hAnsi="Times New Roman" w:eastAsia="黑体" w:cs="Times New Roman"/>
          <w:b/>
          <w:bCs/>
          <w:color w:val="0070C0"/>
          <w:sz w:val="32"/>
          <w:szCs w:val="32"/>
        </w:rPr>
        <w:t xml:space="preserve"> </w:t>
      </w:r>
      <w:bookmarkEnd w:id="1"/>
      <w:r>
        <w:rPr>
          <w:rFonts w:hint="eastAsia" w:ascii="Times New Roman" w:hAnsi="Times New Roman" w:eastAsia="黑体" w:cs="Times New Roman"/>
          <w:b/>
          <w:bCs/>
          <w:color w:val="0070C0"/>
          <w:sz w:val="32"/>
          <w:szCs w:val="32"/>
        </w:rPr>
        <w:t>面向透皮实时监测的微针生物传感器技术研究</w:t>
      </w:r>
    </w:p>
    <w:p w14:paraId="19F7BF00">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需求背景</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针对精准医疗和个性化健康管理对实时快速、微创、多组分生理生化指标监测的迫切需求，重大疾病（心血管疾病、恶性肿瘤等）的早期筛查与预后随访高度依赖血液标志物的定量检测。现行检测以静脉采血-实验室仪器分析为主，存在有创、周期长、便携性差、难以动态追踪等固有局限。亟需开展表面增强拉曼散射（SERS）微针生物传感器的特异性识别界面构建与在体信号稳定增强机制研究，重点解决复杂生物环境下传感器灵敏度、特异性与稳定性的协同调控等关键科学问题，实现建立组织间液中生物标志物的微创动态监测新方法，为重大疾病标志物的床旁检测提供创新型技术解决方案。</w:t>
      </w:r>
    </w:p>
    <w:p w14:paraId="50672D41">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拟解决的关键科学问题</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（1）SERS 微针多级传感界面的协同构建与跨尺度调控机制：通过微纳跨层次结构设计，协同优化微针阵列力学性能、透皮效率与生物相容性；探索 SERS 活性功能单元在微针界面的精准构筑与稳定集成规律，阐明界面结构—增强信号 — 抗干扰性之间的构效关系，实现机械穿透与信号感知的一体化。（2）复杂微环境下传感器可靠性形成机制及评价方法：揭示组织间液中蛋白吸附、分子扩散及异物响应对 SERS 界面活性与识别特异性的影响规律；基于离体皮肤与活体动物模型，建立传感器响应信号与临床金标准之间的定量关联模型，明确组织间液与血液浓度的换算关系及响应时间特征。</w:t>
      </w:r>
    </w:p>
    <w:p w14:paraId="213FF0AE">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具体考核指标</w:t>
      </w:r>
      <w:r>
        <w:rPr>
          <w:rFonts w:ascii="Times New Roman" w:hAnsi="Times New Roman" w:eastAsia="楷体" w:cs="Times New Roman"/>
          <w:sz w:val="32"/>
          <w:szCs w:val="32"/>
        </w:rPr>
        <w:t>：</w:t>
      </w:r>
      <w:r>
        <w:rPr>
          <w:rFonts w:hint="eastAsia" w:ascii="Times New Roman" w:hAnsi="Times New Roman" w:eastAsia="楷体" w:cs="Times New Roman"/>
          <w:sz w:val="32"/>
          <w:szCs w:val="32"/>
        </w:rPr>
        <w:t>（1）研制SERS微针生物传感器原理样机1套，可实现不少于2种重大疾病相关标志物（心血管疾病或肿瘤方向）的同步检测；（2）体外检测限达到ng/mL量级，线性范围覆盖临床常用cut-off值附近区间，批间重复性CV≤15%；（3）微针皮肤穿刺成功率≥90%，细胞毒性评级≤1级；（4）在活体动物模型上完成组织间液目标标志物的检测验证并与静脉血常规方法形成相关性；（5）提交技术总结报告1份，申请发明专利1~2项，发表SCI论文不少于2篇。</w:t>
      </w:r>
    </w:p>
    <w:p w14:paraId="19C87E7A">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需求方</w:t>
      </w:r>
      <w:r>
        <w:rPr>
          <w:rFonts w:ascii="Times New Roman" w:hAnsi="Times New Roman" w:eastAsia="楷体" w:cs="Times New Roman"/>
          <w:sz w:val="32"/>
          <w:szCs w:val="32"/>
        </w:rPr>
        <w:t>：</w:t>
      </w:r>
      <w:r>
        <w:rPr>
          <w:rFonts w:hint="eastAsia" w:ascii="Times New Roman" w:hAnsi="Times New Roman" w:eastAsia="楷体" w:cs="Times New Roman"/>
          <w:sz w:val="32"/>
          <w:szCs w:val="32"/>
        </w:rPr>
        <w:t>智能传感功能材料全国重点实验室</w:t>
      </w:r>
    </w:p>
    <w:p w14:paraId="3BA8CF82">
      <w:pPr>
        <w:snapToGrid w:val="0"/>
        <w:spacing w:line="336" w:lineRule="auto"/>
        <w:ind w:firstLine="643" w:firstLineChars="200"/>
        <w:jc w:val="left"/>
        <w:rPr>
          <w:rFonts w:ascii="Times New Roman" w:hAnsi="Times New Roman" w:eastAsia="楷体" w:cs="Times New Roman"/>
          <w:sz w:val="32"/>
          <w:szCs w:val="32"/>
        </w:rPr>
      </w:pPr>
      <w:r>
        <w:rPr>
          <w:rFonts w:ascii="Times New Roman" w:hAnsi="Times New Roman" w:eastAsia="楷体" w:cs="Times New Roman"/>
          <w:b/>
          <w:bCs/>
          <w:sz w:val="32"/>
          <w:szCs w:val="32"/>
        </w:rPr>
        <w:t>联系人</w:t>
      </w:r>
      <w:r>
        <w:rPr>
          <w:rFonts w:ascii="Times New Roman" w:hAnsi="Times New Roman" w:eastAsia="楷体" w:cs="Times New Roman"/>
          <w:sz w:val="32"/>
          <w:szCs w:val="32"/>
        </w:rPr>
        <w:t>：</w:t>
      </w:r>
      <w:r>
        <w:rPr>
          <w:rFonts w:hint="eastAsia" w:ascii="Times New Roman" w:hAnsi="Times New Roman" w:eastAsia="楷体" w:cs="Times New Roman"/>
          <w:sz w:val="32"/>
          <w:szCs w:val="32"/>
        </w:rPr>
        <w:t>连紫薇，18811552786，lianziwei@grinm.com</w:t>
      </w:r>
    </w:p>
    <w:p w14:paraId="117BE7A6">
      <w:pPr>
        <w:snapToGrid w:val="0"/>
        <w:spacing w:line="336" w:lineRule="auto"/>
        <w:ind w:firstLine="640" w:firstLineChars="200"/>
        <w:jc w:val="left"/>
        <w:rPr>
          <w:rFonts w:ascii="Times New Roman" w:hAnsi="Times New Roman" w:eastAsia="楷体" w:cs="Times New Roman"/>
          <w:sz w:val="32"/>
          <w:szCs w:val="32"/>
        </w:rPr>
      </w:pPr>
    </w:p>
    <w:p w14:paraId="6A039666">
      <w:pPr>
        <w:snapToGrid w:val="0"/>
        <w:spacing w:after="120" w:line="336" w:lineRule="auto"/>
        <w:jc w:val="center"/>
        <w:rPr>
          <w:rFonts w:ascii="Times New Roman" w:hAnsi="Times New Roman" w:eastAsia="楷体" w:cs="Times New Roman"/>
          <w:b/>
          <w:bCs/>
          <w:color w:val="FF0000"/>
          <w:sz w:val="32"/>
          <w:szCs w:val="32"/>
        </w:rPr>
      </w:pPr>
      <w:r>
        <w:rPr>
          <w:rFonts w:ascii="Times New Roman" w:hAnsi="Times New Roman" w:eastAsia="黑体" w:cs="Times New Roman"/>
          <w:b/>
          <w:bCs/>
          <w:color w:val="0070C0"/>
          <w:sz w:val="32"/>
          <w:szCs w:val="32"/>
        </w:rPr>
        <w:t>项目</w:t>
      </w:r>
      <w:r>
        <w:rPr>
          <w:rFonts w:hint="eastAsia" w:ascii="Times New Roman" w:hAnsi="Times New Roman" w:eastAsia="黑体" w:cs="Times New Roman"/>
          <w:b/>
          <w:bCs/>
          <w:color w:val="0070C0"/>
          <w:sz w:val="32"/>
          <w:szCs w:val="32"/>
          <w:lang w:val="en-US" w:eastAsia="zh-CN"/>
        </w:rPr>
        <w:t>6</w:t>
      </w:r>
      <w:r>
        <w:rPr>
          <w:rFonts w:ascii="Times New Roman" w:hAnsi="Times New Roman" w:eastAsia="黑体" w:cs="Times New Roman"/>
          <w:b/>
          <w:bCs/>
          <w:color w:val="0070C0"/>
          <w:sz w:val="32"/>
          <w:szCs w:val="32"/>
        </w:rPr>
        <w:t xml:space="preserve"> </w:t>
      </w:r>
      <w:r>
        <w:rPr>
          <w:rFonts w:hint="eastAsia" w:ascii="Times New Roman" w:hAnsi="Times New Roman" w:eastAsia="黑体" w:cs="Times New Roman"/>
          <w:b/>
          <w:bCs/>
          <w:color w:val="0070C0"/>
          <w:sz w:val="32"/>
          <w:szCs w:val="32"/>
        </w:rPr>
        <w:t>安培级AEM电解水层状双氢氧化物电极组分设计与稳定性研究</w:t>
      </w:r>
    </w:p>
    <w:p w14:paraId="048C8367">
      <w:pPr>
        <w:snapToGrid w:val="0"/>
        <w:spacing w:line="336" w:lineRule="auto"/>
        <w:ind w:firstLine="643" w:firstLineChars="200"/>
        <w:rPr>
          <w:rFonts w:ascii="Times New Roman" w:hAnsi="Times New Roman" w:eastAsia="仿宋_GB2312" w:cs="Times New Roman"/>
          <w:sz w:val="32"/>
          <w:szCs w:val="32"/>
        </w:rPr>
      </w:pPr>
      <w:r>
        <w:rPr>
          <w:rFonts w:ascii="Times New Roman" w:hAnsi="Times New Roman" w:eastAsia="楷体" w:cs="Times New Roman"/>
          <w:b/>
          <w:bCs/>
          <w:sz w:val="32"/>
          <w:szCs w:val="32"/>
        </w:rPr>
        <w:t>需求背景</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针对国家“双碳”战略下可再生能源电解水制氢装备规模化发展的迫切需求，阴离子交换膜水电解（AEMWE）制氢技术兼具高效与低成本优势，是集团布局绿氢装备新赛道、打造高水平创新高地的战略方向。当前AEM电解槽产业化面临严重的“卡脖子”难题：电极材料在安培级（≥1 A cm-2）大电流密度下存在结构退化快、金属溶出严重及催化层脱落等缺陷，导致电解槽寿命短、电耗增加，无法满足工业化长周期运行要求。层状双氢氧化物（LDH）虽在双半反应（HER/OER）中展现出稳定性潜力，但在工业级工况下仍面临微观结构演化复杂、组分调控规律不清等基础科学难题。亟需揭示LDH组分设计对安培级工况下电极结构演化、元素溶出与性能衰减的调控规律，阐明组分-结构演化-稳定性的关联机制，形成可用于电极材料筛选的物理描述符与稳定性判据，并建立可工程化放大、批次高重复的制备工艺，完成组件级验证。</w:t>
      </w:r>
    </w:p>
    <w:p w14:paraId="0B816180">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拟解决的关键科学问题</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1）揭示LDH组分调控对安培级反应工况下电极结构演化与元素溶出的调控规律，明确组分设计对电极稳定性与失效模式的影响机制，形成可用于电极材料筛选的稳定性判据；（2）厘清工业安培级工况下LDH电极的衰减机制，区分结构退化、元素溶出、催化层脱落等不同失效机制的贡献，建立稳定性设计准则与批量化制备工艺，明确长寿命电极材料的关键组分窗口、结构特征与工艺参数范围。</w:t>
      </w:r>
    </w:p>
    <w:p w14:paraId="1E48B797">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具体考核指标</w:t>
      </w:r>
      <w:r>
        <w:rPr>
          <w:rFonts w:ascii="Times New Roman" w:hAnsi="Times New Roman" w:eastAsia="楷体" w:cs="Times New Roman"/>
          <w:sz w:val="32"/>
          <w:szCs w:val="32"/>
        </w:rPr>
        <w:t>：</w:t>
      </w:r>
      <w:r>
        <w:rPr>
          <w:rFonts w:hint="eastAsia" w:ascii="Times New Roman" w:hAnsi="Times New Roman" w:eastAsia="楷体" w:cs="Times New Roman"/>
          <w:sz w:val="32"/>
          <w:szCs w:val="32"/>
        </w:rPr>
        <w:t>（1）性能指标：在1.0 M KOH电解液、温度不低于60 °C条件下测试（数据经IR补偿），1 A cm-2下HER过电位≤120 mV，1 A cm-2下OER过电位≤280 mV；AEMWE电解槽运行电压≤1.7 V@1 A cm-2@60 °C；在1 A cm-2下电解槽稳定运行≥5000小时，运行期间电压增长率≤20 µV/h，电极结构保持完整，展现良好稳定性；建立LDH电极的工程化放大与批量化稳定制备工艺；（2）形成研究报告1份，发表SCI论文2~3篇，申请专利1~2项。</w:t>
      </w:r>
    </w:p>
    <w:p w14:paraId="5C837DE6">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需求方</w:t>
      </w:r>
      <w:r>
        <w:rPr>
          <w:rFonts w:ascii="Times New Roman" w:hAnsi="Times New Roman" w:eastAsia="楷体" w:cs="Times New Roman"/>
          <w:sz w:val="32"/>
          <w:szCs w:val="32"/>
        </w:rPr>
        <w:t>：</w:t>
      </w:r>
      <w:r>
        <w:rPr>
          <w:rFonts w:hint="eastAsia" w:ascii="Times New Roman" w:hAnsi="Times New Roman" w:eastAsia="楷体" w:cs="Times New Roman"/>
          <w:sz w:val="32"/>
          <w:szCs w:val="32"/>
        </w:rPr>
        <w:t>国家有色金属新能源材料与制品工程技术研究中心</w:t>
      </w:r>
    </w:p>
    <w:p w14:paraId="6C9DA742">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联系人</w:t>
      </w:r>
      <w:r>
        <w:rPr>
          <w:rFonts w:ascii="Times New Roman" w:hAnsi="Times New Roman" w:eastAsia="楷体" w:cs="Times New Roman"/>
          <w:sz w:val="32"/>
          <w:szCs w:val="32"/>
        </w:rPr>
        <w:t>：</w:t>
      </w:r>
      <w:r>
        <w:rPr>
          <w:rFonts w:hint="eastAsia" w:ascii="Times New Roman" w:hAnsi="Times New Roman" w:eastAsia="楷体" w:cs="Times New Roman"/>
          <w:sz w:val="32"/>
          <w:szCs w:val="32"/>
        </w:rPr>
        <w:t>于庆河，13301207361，yuqh@grinm.com</w:t>
      </w:r>
    </w:p>
    <w:p w14:paraId="2AED145A">
      <w:pPr>
        <w:snapToGrid w:val="0"/>
        <w:spacing w:line="336" w:lineRule="auto"/>
        <w:ind w:firstLine="640" w:firstLineChars="200"/>
        <w:jc w:val="left"/>
        <w:rPr>
          <w:rFonts w:ascii="Times New Roman" w:hAnsi="Times New Roman" w:eastAsia="楷体" w:cs="Times New Roman"/>
          <w:sz w:val="32"/>
          <w:szCs w:val="32"/>
        </w:rPr>
      </w:pPr>
    </w:p>
    <w:p w14:paraId="5436B1F5">
      <w:pPr>
        <w:snapToGrid w:val="0"/>
        <w:spacing w:after="120" w:line="336" w:lineRule="auto"/>
        <w:jc w:val="center"/>
        <w:rPr>
          <w:rFonts w:ascii="Times New Roman" w:hAnsi="Times New Roman" w:eastAsia="黑体" w:cs="Times New Roman"/>
          <w:b/>
          <w:bCs/>
          <w:color w:val="0070C0"/>
          <w:sz w:val="32"/>
          <w:szCs w:val="32"/>
        </w:rPr>
      </w:pPr>
      <w:r>
        <w:rPr>
          <w:rFonts w:ascii="Times New Roman" w:hAnsi="Times New Roman" w:eastAsia="黑体" w:cs="Times New Roman"/>
          <w:b/>
          <w:bCs/>
          <w:color w:val="0070C0"/>
          <w:sz w:val="32"/>
          <w:szCs w:val="32"/>
        </w:rPr>
        <w:t xml:space="preserve">项目7 </w:t>
      </w:r>
      <w:r>
        <w:rPr>
          <w:rFonts w:hint="eastAsia" w:ascii="Times New Roman" w:hAnsi="Times New Roman" w:eastAsia="黑体" w:cs="Times New Roman"/>
          <w:b/>
          <w:bCs/>
          <w:color w:val="0070C0"/>
          <w:sz w:val="32"/>
          <w:szCs w:val="32"/>
        </w:rPr>
        <w:t>基于电解技术的微细球形金属粉末制备技术开发</w:t>
      </w:r>
    </w:p>
    <w:p w14:paraId="5155D53A">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需求背景</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针对高端导电浆料、先进封装和印刷电子对高导电、低成本、低温烧结铜粉的迫切需求，以及传统化学法杂质引入、废液排放大的局限，亟需开发基于电解技术的微纳米类球形铜粉制备技术。系统研究电结晶过程中的成核动力学、晶体生长取向及颗粒团聚行为，在保证高纯度、低氧含量的前提下，实现窄粒径分布、高振实密度类球形微纳米铜粉的绿色、可控制备。重点突破电解法可控制备1～5 μm类球形微米铜粉及10～60 nm纳米铜粉的技术瓶颈，解决微纳米粉体高活性表面钝化处理与抗氧化难题，攻克工程放大中多尺度均匀传质与传热控制等关键问题，形成拥有自主知识产权的批量稳定生产技术，最终实现面向高端导电浆料、先进封装和印刷电子等高端应用场景的微纳米类球形铜粉的低成本、高品质可控制备，推动公司由传统高污染化学路线向以电解液闭路循环为特征的绿色电解路线升级。</w:t>
      </w:r>
    </w:p>
    <w:p w14:paraId="64E1E803">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拟解决的关键科学问题</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1）电解沉积过程中铜粉的形核-长大竞争机制及其对球形形貌、粒径等的调控原理；（2）高活性微纳米铜粉体表面钝化层的结构特征与抗氧化性能之间的构效关系及可控构筑机制；（3）工程放大过程中电流场/浓度场/温度场对粉体形貌、粒径等与批次一致性的影响规律。</w:t>
      </w:r>
    </w:p>
    <w:p w14:paraId="498EA20B">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具体考核指标</w:t>
      </w:r>
      <w:r>
        <w:rPr>
          <w:rFonts w:ascii="Times New Roman" w:hAnsi="Times New Roman" w:eastAsia="楷体" w:cs="Times New Roman"/>
          <w:sz w:val="32"/>
          <w:szCs w:val="32"/>
        </w:rPr>
        <w:t>：</w:t>
      </w:r>
      <w:r>
        <w:rPr>
          <w:rFonts w:hint="eastAsia" w:ascii="Times New Roman" w:hAnsi="Times New Roman" w:eastAsia="楷体" w:cs="Times New Roman"/>
          <w:sz w:val="32"/>
          <w:szCs w:val="32"/>
        </w:rPr>
        <w:t>（1）技术指标：精确控制球形铜粉粒径和粒径分布，形成2种粒径产品原型。微细类球形铜粉：金属基Cu≥99.99%，O≤4000 ppm，D50：1~5 μm，D90/D10&lt;3，振实密度≥4.2 g/cm³；纳米级类球形铜粉：金属基Cu≥99.99%，O≤9000 ppm，D50：10~60 nm，D90/D10&lt;3，振实密度≥3.0 g/cm³；（2）工程化指标：建立工程化工艺流程，实现全流程（电解-固液分离-洗涤钝化-干燥-分级）贯通，实现两种产品200g以上批次稳定制备；（3）文章和专利：发表SCI论文≥2篇，申请专利≥2项。</w:t>
      </w:r>
      <w:bookmarkStart w:id="2" w:name="_GoBack"/>
      <w:bookmarkEnd w:id="2"/>
    </w:p>
    <w:p w14:paraId="7FEB497F">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需求方</w:t>
      </w:r>
      <w:r>
        <w:rPr>
          <w:rFonts w:ascii="Times New Roman" w:hAnsi="Times New Roman" w:eastAsia="楷体" w:cs="Times New Roman"/>
          <w:sz w:val="32"/>
          <w:szCs w:val="32"/>
        </w:rPr>
        <w:t>：</w:t>
      </w:r>
      <w:r>
        <w:rPr>
          <w:rFonts w:hint="eastAsia" w:ascii="Times New Roman" w:hAnsi="Times New Roman" w:eastAsia="楷体" w:cs="Times New Roman"/>
          <w:sz w:val="32"/>
          <w:szCs w:val="32"/>
        </w:rPr>
        <w:t>金属粉体材料产业技术研究院</w:t>
      </w:r>
    </w:p>
    <w:p w14:paraId="006F949C">
      <w:pPr>
        <w:snapToGrid w:val="0"/>
        <w:spacing w:line="336" w:lineRule="auto"/>
        <w:ind w:firstLine="643" w:firstLineChars="200"/>
        <w:jc w:val="left"/>
        <w:rPr>
          <w:rFonts w:ascii="Times New Roman" w:hAnsi="Times New Roman" w:eastAsia="楷体" w:cs="Times New Roman"/>
          <w:sz w:val="32"/>
          <w:szCs w:val="32"/>
        </w:rPr>
      </w:pPr>
      <w:r>
        <w:rPr>
          <w:rFonts w:ascii="Times New Roman" w:hAnsi="Times New Roman" w:eastAsia="楷体" w:cs="Times New Roman"/>
          <w:b/>
          <w:bCs/>
          <w:sz w:val="32"/>
          <w:szCs w:val="32"/>
        </w:rPr>
        <w:t>联系人</w:t>
      </w:r>
      <w:r>
        <w:rPr>
          <w:rFonts w:ascii="Times New Roman" w:hAnsi="Times New Roman" w:eastAsia="楷体" w:cs="Times New Roman"/>
          <w:sz w:val="32"/>
          <w:szCs w:val="32"/>
        </w:rPr>
        <w:t>：</w:t>
      </w:r>
      <w:r>
        <w:rPr>
          <w:rFonts w:hint="eastAsia" w:ascii="Times New Roman" w:hAnsi="Times New Roman" w:eastAsia="楷体" w:cs="Times New Roman"/>
          <w:sz w:val="32"/>
          <w:szCs w:val="32"/>
        </w:rPr>
        <w:t>韩山玉，18883149841，hsy@gripmcq.com</w:t>
      </w:r>
    </w:p>
    <w:p w14:paraId="2E00151C">
      <w:pPr>
        <w:snapToGrid w:val="0"/>
        <w:spacing w:line="336" w:lineRule="auto"/>
        <w:ind w:firstLine="640" w:firstLineChars="200"/>
        <w:jc w:val="left"/>
        <w:rPr>
          <w:rFonts w:ascii="Times New Roman" w:hAnsi="Times New Roman" w:eastAsia="楷体" w:cs="Times New Roman"/>
          <w:sz w:val="32"/>
          <w:szCs w:val="32"/>
        </w:rPr>
      </w:pPr>
    </w:p>
    <w:p w14:paraId="22EF435B">
      <w:pPr>
        <w:snapToGrid w:val="0"/>
        <w:spacing w:after="120" w:line="336" w:lineRule="auto"/>
        <w:jc w:val="center"/>
        <w:rPr>
          <w:rFonts w:ascii="Times New Roman" w:hAnsi="Times New Roman" w:eastAsia="黑体" w:cs="Times New Roman"/>
          <w:b/>
          <w:bCs/>
          <w:color w:val="0070C0"/>
          <w:sz w:val="32"/>
          <w:szCs w:val="32"/>
        </w:rPr>
      </w:pPr>
      <w:r>
        <w:rPr>
          <w:rFonts w:ascii="Times New Roman" w:hAnsi="Times New Roman" w:eastAsia="黑体" w:cs="Times New Roman"/>
          <w:b/>
          <w:bCs/>
          <w:color w:val="0070C0"/>
          <w:sz w:val="32"/>
          <w:szCs w:val="32"/>
        </w:rPr>
        <w:t>项目</w:t>
      </w:r>
      <w:r>
        <w:rPr>
          <w:rFonts w:hint="eastAsia" w:ascii="Times New Roman" w:hAnsi="Times New Roman" w:eastAsia="黑体" w:cs="Times New Roman"/>
          <w:b/>
          <w:bCs/>
          <w:color w:val="0070C0"/>
          <w:sz w:val="32"/>
          <w:szCs w:val="32"/>
        </w:rPr>
        <w:t>8</w:t>
      </w:r>
      <w:r>
        <w:rPr>
          <w:rFonts w:ascii="Times New Roman" w:hAnsi="Times New Roman" w:eastAsia="黑体" w:cs="Times New Roman"/>
          <w:b/>
          <w:bCs/>
          <w:color w:val="0070C0"/>
          <w:sz w:val="32"/>
          <w:szCs w:val="32"/>
        </w:rPr>
        <w:t xml:space="preserve"> </w:t>
      </w:r>
      <w:r>
        <w:rPr>
          <w:rFonts w:hint="eastAsia" w:ascii="Times New Roman" w:hAnsi="Times New Roman" w:eastAsia="黑体" w:cs="Times New Roman"/>
          <w:b/>
          <w:bCs/>
          <w:color w:val="0070C0"/>
          <w:sz w:val="32"/>
          <w:szCs w:val="32"/>
        </w:rPr>
        <w:t>高性能石墨烯/纳米铜复合粉体制备关键技术</w:t>
      </w:r>
    </w:p>
    <w:p w14:paraId="4FF7C5CF">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需求背景</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针对5G通信、新能源汽车电驱/电控、功率半导体、AI服务器与数据中心散热等下游产业对铜基材料导电、导热、强度和服役可靠性提出的更高要求，以及国内普通铜粉产能过剩、产品同质化竞争严重的行业现状，平台亟待由普通铜粉向高端功能粉体升级。纳米铜粉较普通微米级铜粉具有显著更高的比表面积与表面能，烧结活性突出，可借助细晶强化、弥散强化明显提升烧结体的强度与硬度，但表面能极高、极易团聚并剧烈氧化，储存稳定性与分散性较差。石墨烯具有超高的载流子迁移率、热导率（约5300 W/(m·K)）和力学强度（约130 GPa），被公认为是铜基材料改性的理想第二相，但以化学气相沉积（CVD）为代表的气相生长路线石墨烯含量仅百ppm量级、难以低成本规模化，常规粉末共混工艺中石墨烯片层易团聚再堆叠且与铜界面润湿性差、结合弱，具有高石墨烯含量、界面结合良好、低成本可放大的高性能石墨烯/铜复合粉体制备技术在国内外均属空白。亟需开发基于液相化学合成法的高性能石墨烯改性纳米铜复合粉体制备方法，突破氧化石墨烯液相分散及纳米铜原位形核、定域负载调控，揭示纳米铜与石墨烯协同提升导电性的机理，实现烧结件高导电、高导热与高强度的协同提升。</w:t>
      </w:r>
    </w:p>
    <w:p w14:paraId="6F6C888A">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拟解决的关键科学问题</w:t>
      </w:r>
      <w:r>
        <w:rPr>
          <w:rFonts w:ascii="Times New Roman" w:hAnsi="Times New Roman" w:eastAsia="仿宋_GB2312" w:cs="Times New Roman"/>
          <w:sz w:val="32"/>
          <w:szCs w:val="32"/>
        </w:rPr>
        <w:t>：</w:t>
      </w:r>
      <w:r>
        <w:rPr>
          <w:rFonts w:hint="eastAsia" w:ascii="Times New Roman" w:hAnsi="Times New Roman" w:eastAsia="楷体" w:cs="Times New Roman"/>
          <w:sz w:val="32"/>
          <w:szCs w:val="32"/>
        </w:rPr>
        <w:t>（1）石墨烯与纳米铜颗粒的选择性成核与均匀分布机制，即如何利用石墨烯缺陷（单空位、双空位、Stone-Wales缺陷等）局域电子结构与化学活性的差异性实现纳米铜颗粒的选择性成核和均匀分布，并克服石墨烯层间范德华力导致的团聚与再堆叠；（2）石墨烯-铜界面润湿与结合调控机制，揭示典型异质材料体系界面电子结构与结合能调控规律，建立界面改性（微量合金化、官能团桥接、原位生长）策略；（3）石墨烯与纳米铜粉的界面演变与强化-导电协同增强机制，阐明石墨烯在烧结过程中的界面反应及三维网络构筑规律，破解“增强”与“导电导热”难以兼得的矛盾。</w:t>
      </w:r>
    </w:p>
    <w:p w14:paraId="31BEF704">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具体考核指标</w:t>
      </w:r>
      <w:r>
        <w:rPr>
          <w:rFonts w:ascii="Times New Roman" w:hAnsi="Times New Roman" w:eastAsia="楷体" w:cs="Times New Roman"/>
          <w:sz w:val="32"/>
          <w:szCs w:val="32"/>
        </w:rPr>
        <w:t>：</w:t>
      </w:r>
      <w:r>
        <w:rPr>
          <w:rFonts w:hint="eastAsia" w:ascii="Times New Roman" w:hAnsi="Times New Roman" w:eastAsia="楷体" w:cs="Times New Roman"/>
          <w:sz w:val="32"/>
          <w:szCs w:val="32"/>
        </w:rPr>
        <w:t>（1）复合粉体指标：石墨烯含量在0.1%~50.0 wt%范围内可调；铜粉粒径D50在10 nm~500 nm范围内可调；纳米铜分布均匀，石墨烯单层率（1~3层）≥90%；（2）石墨烯/铜复合成形件性能（热压/SPS烧结验证）：致密度≥98%，电导率≥90% IACS，热导率优于纯铜（400 W/(m·K)），抗拉强度较同工艺纯铜件提升≥30%，延伸率≥15%；（3）科技成果：发表高水平科技论文2~3篇；（4）形成完整的技术研究报告和工艺规范文件1套。</w:t>
      </w:r>
    </w:p>
    <w:p w14:paraId="0617290D">
      <w:pPr>
        <w:snapToGrid w:val="0"/>
        <w:spacing w:line="336" w:lineRule="auto"/>
        <w:ind w:firstLine="643" w:firstLineChars="200"/>
        <w:rPr>
          <w:rFonts w:ascii="Times New Roman" w:hAnsi="Times New Roman" w:eastAsia="楷体" w:cs="Times New Roman"/>
          <w:sz w:val="32"/>
          <w:szCs w:val="32"/>
        </w:rPr>
      </w:pPr>
      <w:r>
        <w:rPr>
          <w:rFonts w:ascii="Times New Roman" w:hAnsi="Times New Roman" w:eastAsia="楷体" w:cs="Times New Roman"/>
          <w:b/>
          <w:bCs/>
          <w:sz w:val="32"/>
          <w:szCs w:val="32"/>
        </w:rPr>
        <w:t>需求方</w:t>
      </w:r>
      <w:r>
        <w:rPr>
          <w:rFonts w:ascii="Times New Roman" w:hAnsi="Times New Roman" w:eastAsia="楷体" w:cs="Times New Roman"/>
          <w:sz w:val="32"/>
          <w:szCs w:val="32"/>
        </w:rPr>
        <w:t>：金属粉体产业技术研究院</w:t>
      </w:r>
    </w:p>
    <w:p w14:paraId="418E8DF9">
      <w:pPr>
        <w:snapToGrid w:val="0"/>
        <w:spacing w:line="336" w:lineRule="auto"/>
        <w:ind w:firstLine="643" w:firstLineChars="200"/>
        <w:jc w:val="left"/>
        <w:rPr>
          <w:rFonts w:ascii="Times New Roman" w:hAnsi="Times New Roman" w:eastAsia="楷体" w:cs="Times New Roman"/>
          <w:sz w:val="32"/>
          <w:szCs w:val="32"/>
        </w:rPr>
      </w:pPr>
      <w:r>
        <w:rPr>
          <w:rFonts w:ascii="Times New Roman" w:hAnsi="Times New Roman" w:eastAsia="楷体" w:cs="Times New Roman"/>
          <w:b/>
          <w:bCs/>
          <w:sz w:val="32"/>
          <w:szCs w:val="32"/>
        </w:rPr>
        <w:t>联系人</w:t>
      </w:r>
      <w:r>
        <w:rPr>
          <w:rFonts w:ascii="Times New Roman" w:hAnsi="Times New Roman" w:eastAsia="楷体" w:cs="Times New Roman"/>
          <w:sz w:val="32"/>
          <w:szCs w:val="32"/>
        </w:rPr>
        <w:t>：</w:t>
      </w:r>
      <w:r>
        <w:rPr>
          <w:rFonts w:hint="eastAsia" w:ascii="Times New Roman" w:hAnsi="Times New Roman" w:eastAsia="楷体" w:cs="Times New Roman"/>
          <w:sz w:val="32"/>
          <w:szCs w:val="32"/>
        </w:rPr>
        <w:t>班丽卿，13811903628，banliqing@gripm.com</w:t>
      </w:r>
    </w:p>
    <w:p w14:paraId="7575B85A">
      <w:pPr>
        <w:snapToGrid w:val="0"/>
        <w:spacing w:line="336" w:lineRule="auto"/>
        <w:ind w:firstLine="640" w:firstLineChars="200"/>
        <w:jc w:val="left"/>
        <w:rPr>
          <w:rFonts w:ascii="Times New Roman" w:hAnsi="Times New Roman" w:eastAsia="楷体" w:cs="Times New Roman"/>
          <w:sz w:val="32"/>
          <w:szCs w:val="32"/>
        </w:rPr>
      </w:pPr>
    </w:p>
    <w:sectPr>
      <w:footerReference r:id="rId3" w:type="default"/>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0000600000000000000"/>
    <w:charset w:val="86"/>
    <w:family w:val="auto"/>
    <w:pitch w:val="default"/>
    <w:sig w:usb0="800002BF" w:usb1="184F6CF8" w:usb2="00000012" w:usb3="00000000" w:csb0="00160001" w:csb1="1203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273382"/>
      <w:docPartObj>
        <w:docPartGallery w:val="autotext"/>
      </w:docPartObj>
    </w:sdtPr>
    <w:sdtContent>
      <w:p w14:paraId="705D0F5A">
        <w:pPr>
          <w:pStyle w:val="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BC35353">
    <w:pPr>
      <w:pStyle w:val="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BB0"/>
    <w:rsid w:val="00057F94"/>
    <w:rsid w:val="00067033"/>
    <w:rsid w:val="00092E19"/>
    <w:rsid w:val="00094985"/>
    <w:rsid w:val="000A17D4"/>
    <w:rsid w:val="000B61C1"/>
    <w:rsid w:val="00121E1A"/>
    <w:rsid w:val="002E34F3"/>
    <w:rsid w:val="00343E37"/>
    <w:rsid w:val="003A48D8"/>
    <w:rsid w:val="00402A35"/>
    <w:rsid w:val="004C3B91"/>
    <w:rsid w:val="00514525"/>
    <w:rsid w:val="0056680F"/>
    <w:rsid w:val="005868CB"/>
    <w:rsid w:val="005A30C8"/>
    <w:rsid w:val="0063764D"/>
    <w:rsid w:val="006B5354"/>
    <w:rsid w:val="007C728B"/>
    <w:rsid w:val="00865DB9"/>
    <w:rsid w:val="00882F59"/>
    <w:rsid w:val="008874EC"/>
    <w:rsid w:val="00893FEE"/>
    <w:rsid w:val="008D24BD"/>
    <w:rsid w:val="00915C6A"/>
    <w:rsid w:val="0092668D"/>
    <w:rsid w:val="00936BB0"/>
    <w:rsid w:val="009A3307"/>
    <w:rsid w:val="009F2F9B"/>
    <w:rsid w:val="00AC1CD6"/>
    <w:rsid w:val="00B35C77"/>
    <w:rsid w:val="00B60A21"/>
    <w:rsid w:val="00BC2F44"/>
    <w:rsid w:val="00BC3F22"/>
    <w:rsid w:val="00BE4032"/>
    <w:rsid w:val="00BE6A2C"/>
    <w:rsid w:val="00D07DFD"/>
    <w:rsid w:val="00D45FBA"/>
    <w:rsid w:val="00D90825"/>
    <w:rsid w:val="00D95E65"/>
    <w:rsid w:val="00DA3FD7"/>
    <w:rsid w:val="00DD255F"/>
    <w:rsid w:val="00DE6297"/>
    <w:rsid w:val="00E15850"/>
    <w:rsid w:val="00E37474"/>
    <w:rsid w:val="00E526D0"/>
    <w:rsid w:val="00EB4533"/>
    <w:rsid w:val="087C3B8B"/>
    <w:rsid w:val="14740441"/>
    <w:rsid w:val="2D2A53DB"/>
    <w:rsid w:val="39CE5360"/>
    <w:rsid w:val="4D834C75"/>
    <w:rsid w:val="58BD6B62"/>
    <w:rsid w:val="73004EAD"/>
    <w:rsid w:val="73993FFB"/>
    <w:rsid w:val="757F5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character" w:customStyle="1" w:styleId="10">
    <w:name w:val="Unresolved Mention"/>
    <w:basedOn w:val="6"/>
    <w:semiHidden/>
    <w:unhideWhenUsed/>
    <w:qFormat/>
    <w:uiPriority w:val="99"/>
    <w:rPr>
      <w:color w:val="605E5C"/>
      <w:shd w:val="clear" w:color="auto" w:fill="E1DFDD"/>
    </w:rPr>
  </w:style>
  <w:style w:type="table" w:customStyle="1" w:styleId="11">
    <w:name w:val="网格型1"/>
    <w:basedOn w:val="4"/>
    <w:qFormat/>
    <w:uiPriority w:val="39"/>
    <w:rPr>
      <w:kern w:val="0"/>
      <w:sz w:val="22"/>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6870</Words>
  <Characters>7480</Characters>
  <Lines>35</Lines>
  <Paragraphs>9</Paragraphs>
  <TotalTime>22</TotalTime>
  <ScaleCrop>false</ScaleCrop>
  <LinksUpToDate>false</LinksUpToDate>
  <CharactersWithSpaces>7553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2022-12-02T02:21:00Z</dcterms:created>
  <dc:creator>cheng L</dc:creator>
  <cp:lastModifiedBy>卢学翰</cp:lastModifiedBy>
  <dcterms:modified xsi:type="dcterms:W3CDTF">2026-10-16T00:38:53Z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eyJoZGlkIjoiY2JiYjM2NWIwMTk2YzQ2NjA4MDcxMDhiMTJmNWUzM2YiLCJ1c2VySWQiOiIxOTA5NDA3MjU4In0=</vt:lpwstr>
  </property>
  <property fmtid="{D5CDD505-2E9C-101B-9397-08002B2CF9AE}" pid="3" name="KSOProductBuildVer">
    <vt:lpwstr>2052-12.1.0.29158</vt:lpwstr>
  </property>
  <property fmtid="{D5CDD505-2E9C-101B-9397-08002B2CF9AE}" pid="4" name="ICV">
    <vt:lpwstr>B333ED61EC1E42AEA86A019D8D5539AE_12</vt:lpwstr>
  </property>
</Properties>
</file>